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FA" w:rsidRPr="002164AB" w:rsidRDefault="002164AB">
      <w:pPr>
        <w:rPr>
          <w:rFonts w:ascii="Palatino Linotype" w:hAnsi="Palatino Linotype" w:cs="Times New Roman"/>
          <w:b/>
          <w:noProof/>
          <w:sz w:val="20"/>
          <w:szCs w:val="20"/>
          <w:lang w:eastAsia="it-IT"/>
        </w:rPr>
      </w:pPr>
      <w:r>
        <w:rPr>
          <w:rFonts w:ascii="Palatino Linotype" w:hAnsi="Palatino Linotype" w:cs="Times New Roman"/>
          <w:b/>
          <w:noProof/>
          <w:sz w:val="20"/>
          <w:szCs w:val="20"/>
          <w:lang w:eastAsia="it-IT"/>
        </w:rPr>
        <w:t>Figure</w:t>
      </w:r>
      <w:r w:rsidR="00343FDF" w:rsidRPr="002164AB">
        <w:rPr>
          <w:rFonts w:ascii="Palatino Linotype" w:hAnsi="Palatino Linotype" w:cs="Times New Roman"/>
          <w:b/>
          <w:noProof/>
          <w:sz w:val="20"/>
          <w:szCs w:val="20"/>
          <w:lang w:eastAsia="it-IT"/>
        </w:rPr>
        <w:t xml:space="preserve"> S5</w:t>
      </w:r>
    </w:p>
    <w:p w:rsidR="006627B2" w:rsidRDefault="006627B2">
      <w:pPr>
        <w:rPr>
          <w:rFonts w:ascii="Times New Roman" w:hAnsi="Times New Roman" w:cs="Times New Roman"/>
          <w:b/>
          <w:noProof/>
          <w:sz w:val="24"/>
          <w:szCs w:val="24"/>
          <w:lang w:eastAsia="it-IT"/>
        </w:rPr>
      </w:pPr>
      <w:r w:rsidRPr="006627B2">
        <w:rPr>
          <w:rFonts w:ascii="Times New Roman" w:hAnsi="Times New Roman" w:cs="Times New Roman"/>
          <w:b/>
          <w:noProof/>
          <w:sz w:val="24"/>
          <w:szCs w:val="24"/>
          <w:lang w:eastAsia="it-IT"/>
        </w:rPr>
        <w:drawing>
          <wp:inline distT="0" distB="0" distL="0" distR="0">
            <wp:extent cx="5858480" cy="4424005"/>
            <wp:effectExtent l="19050" t="0" r="27970" b="0"/>
            <wp:docPr id="9" name="Grafico 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2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AE33F1" w:rsidRPr="00AE33F1" w:rsidRDefault="00AE33F1" w:rsidP="00AE33F1">
      <w:pPr>
        <w:ind w:left="-709"/>
        <w:rPr>
          <w:rFonts w:ascii="Palatino Linotype" w:hAnsi="Palatino Linotype" w:cs="Times New Roman"/>
          <w:color w:val="000000"/>
          <w:sz w:val="18"/>
          <w:szCs w:val="18"/>
          <w:lang w:val="en-US"/>
        </w:rPr>
      </w:pPr>
      <w:r w:rsidRPr="00AE33F1">
        <w:rPr>
          <w:rFonts w:ascii="Palatino Linotype" w:hAnsi="Palatino Linotype" w:cs="Times New Roman"/>
          <w:b/>
          <w:sz w:val="18"/>
          <w:szCs w:val="18"/>
          <w:lang w:val="en-US"/>
        </w:rPr>
        <w:t>Figure S5.</w:t>
      </w:r>
      <w:r w:rsidRPr="00AE33F1">
        <w:rPr>
          <w:rFonts w:ascii="Palatino Linotype" w:hAnsi="Palatino Linotype" w:cs="Times New Roman"/>
          <w:sz w:val="18"/>
          <w:szCs w:val="18"/>
          <w:lang w:val="en-US"/>
        </w:rPr>
        <w:t xml:space="preserve"> Distribution of </w:t>
      </w:r>
      <w:r w:rsidRPr="00AE33F1">
        <w:rPr>
          <w:rFonts w:ascii="Palatino Linotype" w:hAnsi="Palatino Linotype" w:cs="Times New Roman"/>
          <w:i/>
          <w:sz w:val="18"/>
          <w:szCs w:val="18"/>
          <w:lang w:val="en-US"/>
        </w:rPr>
        <w:t>N</w:t>
      </w:r>
      <w:r w:rsidRPr="00AE33F1">
        <w:rPr>
          <w:rFonts w:ascii="Palatino Linotype" w:hAnsi="Palatino Linotype" w:cs="Times New Roman"/>
          <w:sz w:val="18"/>
          <w:szCs w:val="18"/>
          <w:lang w:val="en-US"/>
        </w:rPr>
        <w:t>-</w:t>
      </w:r>
      <w:proofErr w:type="spellStart"/>
      <w:r w:rsidRPr="00AE33F1">
        <w:rPr>
          <w:rFonts w:ascii="Palatino Linotype" w:hAnsi="Palatino Linotype" w:cs="Times New Roman"/>
          <w:sz w:val="18"/>
          <w:szCs w:val="18"/>
          <w:lang w:val="en-US"/>
        </w:rPr>
        <w:t>glycosylation</w:t>
      </w:r>
      <w:proofErr w:type="spellEnd"/>
      <w:r w:rsidRPr="00AE33F1">
        <w:rPr>
          <w:rFonts w:ascii="Palatino Linotype" w:hAnsi="Palatino Linotype" w:cs="Times New Roman"/>
          <w:sz w:val="18"/>
          <w:szCs w:val="18"/>
          <w:lang w:val="en-US"/>
        </w:rPr>
        <w:t xml:space="preserve"> sites </w:t>
      </w:r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in the </w:t>
      </w:r>
      <w:proofErr w:type="spellStart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IgT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CH1 and CH3 domains from the temperate </w:t>
      </w:r>
      <w:proofErr w:type="spellStart"/>
      <w:r w:rsidRPr="00AE33F1">
        <w:rPr>
          <w:rFonts w:ascii="Palatino Linotype" w:hAnsi="Palatino Linotype" w:cs="Times New Roman"/>
          <w:sz w:val="18"/>
          <w:szCs w:val="18"/>
          <w:lang w:val="en-US"/>
        </w:rPr>
        <w:t>Perciform</w:t>
      </w:r>
      <w:proofErr w:type="spellEnd"/>
      <w:r w:rsidRPr="00AE33F1">
        <w:rPr>
          <w:rFonts w:ascii="Palatino Linotype" w:hAnsi="Palatino Linotype" w:cs="Times New Roman"/>
          <w:sz w:val="18"/>
          <w:szCs w:val="18"/>
          <w:lang w:val="en-US"/>
        </w:rPr>
        <w:t xml:space="preserve"> species: </w:t>
      </w:r>
      <w:proofErr w:type="spellStart"/>
      <w:r w:rsidRPr="00AE33F1">
        <w:rPr>
          <w:rFonts w:ascii="Palatino Linotype" w:hAnsi="Palatino Linotype" w:cs="Times New Roman"/>
          <w:i/>
          <w:sz w:val="18"/>
          <w:szCs w:val="18"/>
          <w:lang w:val="en-US"/>
        </w:rPr>
        <w:t>Epinephelus</w:t>
      </w:r>
      <w:proofErr w:type="spellEnd"/>
      <w:r w:rsidRPr="00AE33F1">
        <w:rPr>
          <w:rFonts w:ascii="Palatino Linotype" w:hAnsi="Palatino Linotype" w:cs="Times New Roman"/>
          <w:i/>
          <w:sz w:val="18"/>
          <w:szCs w:val="18"/>
          <w:lang w:val="en-US"/>
        </w:rPr>
        <w:t xml:space="preserve">  </w:t>
      </w:r>
      <w:proofErr w:type="spellStart"/>
      <w:r w:rsidRPr="00AE33F1">
        <w:rPr>
          <w:rFonts w:ascii="Palatino Linotype" w:hAnsi="Palatino Linotype" w:cs="Times New Roman"/>
          <w:i/>
          <w:sz w:val="18"/>
          <w:szCs w:val="18"/>
          <w:lang w:val="en-US"/>
        </w:rPr>
        <w:t>coioides</w:t>
      </w:r>
      <w:proofErr w:type="spellEnd"/>
      <w:r w:rsidRPr="00AE33F1">
        <w:rPr>
          <w:rFonts w:ascii="Palatino Linotype" w:hAnsi="Palatino Linotype" w:cs="Times New Roman"/>
          <w:i/>
          <w:sz w:val="18"/>
          <w:szCs w:val="18"/>
          <w:lang w:val="en-US"/>
        </w:rPr>
        <w:t>,</w:t>
      </w:r>
      <w:r w:rsidRPr="00AE33F1">
        <w:rPr>
          <w:rFonts w:ascii="Palatino Linotype" w:hAnsi="Palatino Linotype" w:cs="Times New Roman"/>
          <w:sz w:val="18"/>
          <w:szCs w:val="18"/>
          <w:lang w:val="en-US"/>
        </w:rPr>
        <w:t xml:space="preserve"> orange-spotted grouper</w:t>
      </w:r>
      <w:r w:rsidRPr="00AE33F1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 xml:space="preserve"> (GU182366)</w:t>
      </w:r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Sparus</w:t>
      </w:r>
      <w:proofErr w:type="spellEnd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aurata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,</w:t>
      </w:r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seabream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</w:t>
      </w:r>
      <w:r w:rsidRPr="00AE33F1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>(KX599200)</w:t>
      </w:r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Thunnus</w:t>
      </w:r>
      <w:proofErr w:type="spellEnd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orientalis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Pacific </w:t>
      </w:r>
      <w:proofErr w:type="spellStart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bluefin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tuna</w:t>
      </w:r>
      <w:r w:rsidRPr="00AE33F1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 xml:space="preserve"> (KF713336)</w:t>
      </w:r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Gasterosteus</w:t>
      </w:r>
      <w:proofErr w:type="spellEnd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aculeatus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,</w:t>
      </w:r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three-</w:t>
      </w:r>
      <w:proofErr w:type="spellStart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spined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stickleback</w:t>
      </w:r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r w:rsidRPr="00AE33F1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>(</w:t>
      </w:r>
      <w:proofErr w:type="spellStart"/>
      <w:r w:rsidRPr="00AE33F1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>Gambòn-Deza</w:t>
      </w:r>
      <w:proofErr w:type="spellEnd"/>
      <w:r w:rsidRPr="00AE33F1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 xml:space="preserve"> et al., 2010)</w:t>
      </w:r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Siniperca</w:t>
      </w:r>
      <w:proofErr w:type="spellEnd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chuatsi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, mandarin fish</w:t>
      </w:r>
      <w:r w:rsidRPr="00AE33F1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 xml:space="preserve"> (DQ016660)</w:t>
      </w:r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Sebastes</w:t>
      </w:r>
      <w:proofErr w:type="spellEnd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caurinus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, copper rockfish</w:t>
      </w:r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r w:rsidRPr="00AE33F1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>(GE798008)</w:t>
      </w:r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Dicentrarchus</w:t>
      </w:r>
      <w:proofErr w:type="spellEnd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labrax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European </w:t>
      </w:r>
      <w:proofErr w:type="spellStart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seabass</w:t>
      </w:r>
      <w:proofErr w:type="spellEnd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r w:rsidRPr="00AE33F1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>(KM410929)</w:t>
      </w:r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; from the non-Antarctic species </w:t>
      </w:r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B.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diacanthus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</w:t>
      </w:r>
      <w:proofErr w:type="spellStart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Bdi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KP876590), </w:t>
      </w:r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E.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maclovinus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(Ema1 and Ema2), and from the Antarctic species </w:t>
      </w:r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T.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bernacchii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</w:t>
      </w:r>
      <w:proofErr w:type="spellStart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TbeS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</w:t>
      </w:r>
      <w:proofErr w:type="spellStart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TbeL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and </w:t>
      </w:r>
      <w:proofErr w:type="spellStart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TbeSts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variants), </w:t>
      </w:r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N.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coriiceps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</w:t>
      </w:r>
      <w:proofErr w:type="spellStart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Nco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KP876589), </w:t>
      </w:r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G.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gibberifrons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(Ggi1), </w:t>
      </w:r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H.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velifer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(Hve1 and Hve2, both coding for same CH2 size but differing in the CH3 domain length) and </w:t>
      </w:r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G. </w:t>
      </w:r>
      <w:proofErr w:type="spellStart"/>
      <w:r w:rsidRPr="00AE33F1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acuticeps</w:t>
      </w:r>
      <w:proofErr w:type="spellEnd"/>
      <w:r w:rsidRPr="00AE33F1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(Gac1).</w:t>
      </w:r>
      <w:r w:rsidRPr="00AE33F1">
        <w:rPr>
          <w:rFonts w:ascii="Palatino Linotype" w:hAnsi="Palatino Linotype" w:cs="Courier New"/>
          <w:b/>
          <w:color w:val="000000"/>
          <w:sz w:val="18"/>
          <w:szCs w:val="18"/>
          <w:lang w:val="en-US"/>
        </w:rPr>
        <w:t xml:space="preserve"> </w:t>
      </w:r>
    </w:p>
    <w:p w:rsidR="006627B2" w:rsidRPr="00AE33F1" w:rsidRDefault="006627B2">
      <w:pPr>
        <w:rPr>
          <w:rFonts w:ascii="Times New Roman" w:hAnsi="Times New Roman" w:cs="Times New Roman"/>
          <w:b/>
          <w:noProof/>
          <w:sz w:val="24"/>
          <w:szCs w:val="24"/>
          <w:lang w:val="en-US" w:eastAsia="it-IT"/>
        </w:rPr>
      </w:pPr>
    </w:p>
    <w:p w:rsidR="006627B2" w:rsidRPr="00AE33F1" w:rsidRDefault="006627B2">
      <w:pPr>
        <w:rPr>
          <w:lang w:val="en-US"/>
        </w:rPr>
      </w:pPr>
    </w:p>
    <w:sectPr w:rsidR="006627B2" w:rsidRPr="00AE33F1" w:rsidSect="00261B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283"/>
  <w:characterSpacingControl w:val="doNotCompress"/>
  <w:compat/>
  <w:rsids>
    <w:rsidRoot w:val="000D06E9"/>
    <w:rsid w:val="000A1199"/>
    <w:rsid w:val="000D06E9"/>
    <w:rsid w:val="00116027"/>
    <w:rsid w:val="001D599D"/>
    <w:rsid w:val="002164AB"/>
    <w:rsid w:val="00261BD4"/>
    <w:rsid w:val="00343FDF"/>
    <w:rsid w:val="004E7BB9"/>
    <w:rsid w:val="006627B2"/>
    <w:rsid w:val="007C754F"/>
    <w:rsid w:val="00A54FF6"/>
    <w:rsid w:val="00AB0AB7"/>
    <w:rsid w:val="00AC0C03"/>
    <w:rsid w:val="00AE33F1"/>
    <w:rsid w:val="00C00253"/>
    <w:rsid w:val="00D72FFA"/>
    <w:rsid w:val="00F170A7"/>
    <w:rsid w:val="00F33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1BD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3C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lessia\Manoscritti\Paper%20IgT\Grafico%20N-glicosilazione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style val="6"/>
  <c:chart>
    <c:autoTitleDeleted val="1"/>
    <c:plotArea>
      <c:layout>
        <c:manualLayout>
          <c:layoutTarget val="inner"/>
          <c:xMode val="edge"/>
          <c:yMode val="edge"/>
          <c:x val="0.17933007036119344"/>
          <c:y val="0.17377549424038141"/>
          <c:w val="0.60105837154275799"/>
          <c:h val="0.57196436364235159"/>
        </c:manualLayout>
      </c:layout>
      <c:barChart>
        <c:barDir val="col"/>
        <c:grouping val="clustered"/>
        <c:ser>
          <c:idx val="0"/>
          <c:order val="0"/>
          <c:tx>
            <c:strRef>
              <c:f>Foglio1!$A$2</c:f>
              <c:strCache>
                <c:ptCount val="1"/>
                <c:pt idx="0">
                  <c:v>CH1</c:v>
                </c:pt>
              </c:strCache>
            </c:strRef>
          </c:tx>
          <c:spPr>
            <a:solidFill>
              <a:schemeClr val="accent4">
                <a:shade val="65000"/>
              </a:schemeClr>
            </a:solidFill>
            <a:ln>
              <a:noFill/>
            </a:ln>
            <a:effectLst/>
          </c:spPr>
          <c:cat>
            <c:strRef>
              <c:f>Foglio1!$B$1:$D$1</c:f>
              <c:strCache>
                <c:ptCount val="3"/>
                <c:pt idx="0">
                  <c:v> Temperate species</c:v>
                </c:pt>
                <c:pt idx="1">
                  <c:v>non-Antarctic species</c:v>
                </c:pt>
                <c:pt idx="2">
                  <c:v>Antarctic species</c:v>
                </c:pt>
              </c:strCache>
            </c:strRef>
          </c:cat>
          <c:val>
            <c:numRef>
              <c:f>Foglio1!$B$2:$D$2</c:f>
              <c:numCache>
                <c:formatCode>General</c:formatCode>
                <c:ptCount val="3"/>
                <c:pt idx="0">
                  <c:v>4</c:v>
                </c:pt>
                <c:pt idx="1">
                  <c:v>1</c:v>
                </c:pt>
                <c:pt idx="2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F79-49BA-8E4E-5CC70BCF5250}"/>
            </c:ext>
          </c:extLst>
        </c:ser>
        <c:ser>
          <c:idx val="2"/>
          <c:order val="1"/>
          <c:tx>
            <c:strRef>
              <c:f>Foglio1!$A$4</c:f>
              <c:strCache>
                <c:ptCount val="1"/>
                <c:pt idx="0">
                  <c:v>CH3</c:v>
                </c:pt>
              </c:strCache>
            </c:strRef>
          </c:tx>
          <c:spPr>
            <a:solidFill>
              <a:schemeClr val="accent4">
                <a:tint val="65000"/>
              </a:schemeClr>
            </a:solidFill>
            <a:ln>
              <a:noFill/>
            </a:ln>
            <a:effectLst/>
          </c:spPr>
          <c:cat>
            <c:strRef>
              <c:f>Foglio1!$B$1:$D$1</c:f>
              <c:strCache>
                <c:ptCount val="3"/>
                <c:pt idx="0">
                  <c:v> Temperate species</c:v>
                </c:pt>
                <c:pt idx="1">
                  <c:v>non-Antarctic species</c:v>
                </c:pt>
                <c:pt idx="2">
                  <c:v>Antarctic species</c:v>
                </c:pt>
              </c:strCache>
            </c:strRef>
          </c:cat>
          <c:val>
            <c:numRef>
              <c:f>Foglio1!$B$4:$D$4</c:f>
              <c:numCache>
                <c:formatCode>General</c:formatCode>
                <c:ptCount val="3"/>
                <c:pt idx="0">
                  <c:v>5</c:v>
                </c:pt>
                <c:pt idx="1">
                  <c:v>1</c:v>
                </c:pt>
                <c:pt idx="2">
                  <c:v>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F79-49BA-8E4E-5CC70BCF5250}"/>
            </c:ext>
          </c:extLst>
        </c:ser>
        <c:gapWidth val="267"/>
        <c:overlap val="-43"/>
        <c:axId val="150468480"/>
        <c:axId val="152891392"/>
      </c:barChart>
      <c:catAx>
        <c:axId val="150468480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cap="none" spc="0" normalizeH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52891392"/>
        <c:crosses val="autoZero"/>
        <c:auto val="1"/>
        <c:lblAlgn val="ctr"/>
        <c:lblOffset val="100"/>
      </c:catAx>
      <c:valAx>
        <c:axId val="15289139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8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it-IT" sz="1200">
                    <a:solidFill>
                      <a:schemeClr val="tx1"/>
                    </a:solidFill>
                  </a:rPr>
                  <a:t>N-glyc</a:t>
                </a:r>
                <a:r>
                  <a:rPr lang="it-IT" sz="1200" baseline="0">
                    <a:solidFill>
                      <a:schemeClr val="tx1"/>
                    </a:solidFill>
                  </a:rPr>
                  <a:t> sites</a:t>
                </a:r>
                <a:endParaRPr lang="it-IT" sz="1200">
                  <a:solidFill>
                    <a:schemeClr val="tx1"/>
                  </a:solidFill>
                </a:endParaRPr>
              </a:p>
            </c:rich>
          </c:tx>
          <c:layout>
            <c:manualLayout>
              <c:xMode val="edge"/>
              <c:yMode val="edge"/>
              <c:x val="8.4032633175755017E-2"/>
              <c:y val="0.37586430507758262"/>
            </c:manualLayout>
          </c:layout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50468480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83857883777599684"/>
          <c:y val="0.33313756030691632"/>
          <c:w val="0.11753040673837339"/>
          <c:h val="0.16125910375354763"/>
        </c:manualLayout>
      </c:layout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1"/>
</c:chartSpac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Ametrano</dc:creator>
  <cp:keywords/>
  <dc:description/>
  <cp:lastModifiedBy>TORRE</cp:lastModifiedBy>
  <cp:revision>9</cp:revision>
  <dcterms:created xsi:type="dcterms:W3CDTF">2020-04-02T11:19:00Z</dcterms:created>
  <dcterms:modified xsi:type="dcterms:W3CDTF">2020-11-20T10:23:00Z</dcterms:modified>
</cp:coreProperties>
</file>